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9"/>
        <w:gridCol w:w="1480"/>
        <w:gridCol w:w="1481"/>
        <w:gridCol w:w="1480"/>
        <w:gridCol w:w="1481"/>
        <w:gridCol w:w="1481"/>
      </w:tblGrid>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b/>
              </w:rPr>
            </w:pPr>
            <w:bookmarkStart w:id="0" w:name="_GoBack"/>
            <w:bookmarkEnd w:id="0"/>
            <w:r w:rsidRPr="0050060F">
              <w:rPr>
                <w:rFonts w:ascii="Times New Roman" w:hAnsi="Times New Roman" w:cs="Times New Roman"/>
                <w:b/>
              </w:rPr>
              <w:t>Dersin Adı</w:t>
            </w:r>
          </w:p>
        </w:tc>
        <w:tc>
          <w:tcPr>
            <w:tcW w:w="1480" w:type="dxa"/>
          </w:tcPr>
          <w:p w:rsidR="00754574" w:rsidRPr="0050060F" w:rsidRDefault="00754574" w:rsidP="003A6F16">
            <w:pPr>
              <w:spacing w:after="0" w:line="240" w:lineRule="auto"/>
              <w:rPr>
                <w:rFonts w:ascii="Times New Roman" w:hAnsi="Times New Roman" w:cs="Times New Roman"/>
                <w:b/>
              </w:rPr>
            </w:pPr>
            <w:r w:rsidRPr="0050060F">
              <w:rPr>
                <w:rFonts w:ascii="Times New Roman" w:hAnsi="Times New Roman" w:cs="Times New Roman"/>
                <w:b/>
              </w:rPr>
              <w:t>Kodu</w:t>
            </w:r>
          </w:p>
        </w:tc>
        <w:tc>
          <w:tcPr>
            <w:tcW w:w="1481" w:type="dxa"/>
          </w:tcPr>
          <w:p w:rsidR="00754574" w:rsidRPr="0050060F" w:rsidRDefault="00754574" w:rsidP="003A6F16">
            <w:pPr>
              <w:spacing w:after="0" w:line="240" w:lineRule="auto"/>
              <w:rPr>
                <w:rFonts w:ascii="Times New Roman" w:hAnsi="Times New Roman" w:cs="Times New Roman"/>
                <w:b/>
              </w:rPr>
            </w:pPr>
            <w:r w:rsidRPr="0050060F">
              <w:rPr>
                <w:rFonts w:ascii="Times New Roman" w:hAnsi="Times New Roman" w:cs="Times New Roman"/>
                <w:b/>
              </w:rPr>
              <w:t>Yarıyılı</w:t>
            </w:r>
          </w:p>
        </w:tc>
        <w:tc>
          <w:tcPr>
            <w:tcW w:w="1480" w:type="dxa"/>
          </w:tcPr>
          <w:p w:rsidR="00754574" w:rsidRPr="0050060F" w:rsidRDefault="00754574" w:rsidP="003A6F16">
            <w:pPr>
              <w:spacing w:after="0" w:line="240" w:lineRule="auto"/>
              <w:rPr>
                <w:rFonts w:ascii="Times New Roman" w:hAnsi="Times New Roman" w:cs="Times New Roman"/>
                <w:b/>
              </w:rPr>
            </w:pPr>
            <w:r w:rsidRPr="0050060F">
              <w:rPr>
                <w:rFonts w:ascii="Times New Roman" w:hAnsi="Times New Roman" w:cs="Times New Roman"/>
                <w:b/>
              </w:rPr>
              <w:t>T+U</w:t>
            </w:r>
          </w:p>
        </w:tc>
        <w:tc>
          <w:tcPr>
            <w:tcW w:w="1481" w:type="dxa"/>
          </w:tcPr>
          <w:p w:rsidR="00754574" w:rsidRPr="0050060F" w:rsidRDefault="00754574" w:rsidP="003A6F16">
            <w:pPr>
              <w:spacing w:after="0" w:line="240" w:lineRule="auto"/>
              <w:rPr>
                <w:rFonts w:ascii="Times New Roman" w:hAnsi="Times New Roman" w:cs="Times New Roman"/>
                <w:b/>
              </w:rPr>
            </w:pPr>
            <w:r w:rsidRPr="0050060F">
              <w:rPr>
                <w:rFonts w:ascii="Times New Roman" w:hAnsi="Times New Roman" w:cs="Times New Roman"/>
                <w:b/>
              </w:rPr>
              <w:t>Kredisi</w:t>
            </w:r>
          </w:p>
        </w:tc>
        <w:tc>
          <w:tcPr>
            <w:tcW w:w="1481" w:type="dxa"/>
          </w:tcPr>
          <w:p w:rsidR="00754574" w:rsidRPr="0050060F" w:rsidRDefault="00754574" w:rsidP="003A6F16">
            <w:pPr>
              <w:spacing w:after="0" w:line="240" w:lineRule="auto"/>
              <w:rPr>
                <w:rFonts w:ascii="Times New Roman" w:hAnsi="Times New Roman" w:cs="Times New Roman"/>
                <w:b/>
              </w:rPr>
            </w:pPr>
            <w:r w:rsidRPr="0050060F">
              <w:rPr>
                <w:rFonts w:ascii="Times New Roman" w:hAnsi="Times New Roman" w:cs="Times New Roman"/>
                <w:b/>
              </w:rPr>
              <w:t>AKTS</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lang w:eastAsia="en-US"/>
              </w:rPr>
              <w:t>Gıda Mühendislik Etiği</w:t>
            </w:r>
          </w:p>
        </w:tc>
        <w:tc>
          <w:tcPr>
            <w:tcW w:w="1480" w:type="dxa"/>
          </w:tcPr>
          <w:p w:rsidR="00754574" w:rsidRPr="0050060F" w:rsidRDefault="00754574" w:rsidP="003A6F16">
            <w:pPr>
              <w:spacing w:after="0" w:line="240" w:lineRule="auto"/>
              <w:rPr>
                <w:rFonts w:ascii="Times New Roman" w:hAnsi="Times New Roman" w:cs="Times New Roman"/>
              </w:rPr>
            </w:pPr>
          </w:p>
        </w:tc>
        <w:tc>
          <w:tcPr>
            <w:tcW w:w="1481"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5</w:t>
            </w:r>
          </w:p>
        </w:tc>
        <w:tc>
          <w:tcPr>
            <w:tcW w:w="1480"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2+0</w:t>
            </w:r>
          </w:p>
        </w:tc>
        <w:tc>
          <w:tcPr>
            <w:tcW w:w="1481"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2</w:t>
            </w:r>
          </w:p>
        </w:tc>
        <w:tc>
          <w:tcPr>
            <w:tcW w:w="1481"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2</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Ön koşul Dersler</w:t>
            </w:r>
          </w:p>
        </w:tc>
        <w:tc>
          <w:tcPr>
            <w:tcW w:w="7403" w:type="dxa"/>
            <w:gridSpan w:val="5"/>
          </w:tcPr>
          <w:p w:rsidR="00754574" w:rsidRPr="0050060F" w:rsidRDefault="00754574" w:rsidP="003A6F16">
            <w:pPr>
              <w:spacing w:after="0" w:line="240" w:lineRule="auto"/>
              <w:rPr>
                <w:rFonts w:ascii="Times New Roman" w:hAnsi="Times New Roman" w:cs="Times New Roman"/>
              </w:rPr>
            </w:pP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Dili</w:t>
            </w:r>
          </w:p>
        </w:tc>
        <w:tc>
          <w:tcPr>
            <w:tcW w:w="7403" w:type="dxa"/>
            <w:gridSpan w:val="5"/>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Türkçe</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Türü</w:t>
            </w:r>
          </w:p>
        </w:tc>
        <w:tc>
          <w:tcPr>
            <w:tcW w:w="7403" w:type="dxa"/>
            <w:gridSpan w:val="5"/>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Ortak Seçmeli</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 Öneren Fakülte/Bölüm</w:t>
            </w:r>
          </w:p>
        </w:tc>
        <w:tc>
          <w:tcPr>
            <w:tcW w:w="7403" w:type="dxa"/>
            <w:gridSpan w:val="5"/>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Mühendislik /Gı</w:t>
            </w:r>
            <w:r>
              <w:rPr>
                <w:rFonts w:ascii="Times New Roman" w:hAnsi="Times New Roman" w:cs="Times New Roman"/>
              </w:rPr>
              <w:t>da</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Yürütüleceği Kampüs</w:t>
            </w:r>
          </w:p>
        </w:tc>
        <w:tc>
          <w:tcPr>
            <w:tcW w:w="7403" w:type="dxa"/>
            <w:gridSpan w:val="5"/>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Osmanbey Kampüsü</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Koordinatörü</w:t>
            </w:r>
          </w:p>
        </w:tc>
        <w:tc>
          <w:tcPr>
            <w:tcW w:w="7403" w:type="dxa"/>
            <w:gridSpan w:val="5"/>
          </w:tcPr>
          <w:p w:rsidR="00754574" w:rsidRPr="0050060F" w:rsidRDefault="00754574" w:rsidP="003A6F16">
            <w:pPr>
              <w:spacing w:after="0" w:line="240" w:lineRule="auto"/>
              <w:rPr>
                <w:rFonts w:ascii="Times New Roman" w:hAnsi="Times New Roman" w:cs="Times New Roman"/>
              </w:rPr>
            </w:pP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Yürütücüsü</w:t>
            </w:r>
          </w:p>
        </w:tc>
        <w:tc>
          <w:tcPr>
            <w:tcW w:w="7403" w:type="dxa"/>
            <w:gridSpan w:val="5"/>
          </w:tcPr>
          <w:p w:rsidR="00754574" w:rsidRPr="0050060F" w:rsidRDefault="00754574" w:rsidP="003A6F16">
            <w:pPr>
              <w:spacing w:after="0" w:line="240" w:lineRule="auto"/>
              <w:rPr>
                <w:rFonts w:ascii="Times New Roman" w:hAnsi="Times New Roman" w:cs="Times New Roman"/>
              </w:rPr>
            </w:pP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Yardımcıları</w:t>
            </w:r>
          </w:p>
        </w:tc>
        <w:tc>
          <w:tcPr>
            <w:tcW w:w="7403" w:type="dxa"/>
            <w:gridSpan w:val="5"/>
          </w:tcPr>
          <w:p w:rsidR="00754574" w:rsidRPr="0050060F" w:rsidRDefault="00754574" w:rsidP="003A6F16">
            <w:pPr>
              <w:spacing w:after="0" w:line="240" w:lineRule="auto"/>
              <w:rPr>
                <w:rFonts w:ascii="Times New Roman" w:hAnsi="Times New Roman" w:cs="Times New Roman"/>
              </w:rPr>
            </w:pP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Amacı</w:t>
            </w:r>
          </w:p>
        </w:tc>
        <w:tc>
          <w:tcPr>
            <w:tcW w:w="7403" w:type="dxa"/>
            <w:gridSpan w:val="5"/>
          </w:tcPr>
          <w:p w:rsidR="00754574" w:rsidRPr="0050060F" w:rsidRDefault="00754574" w:rsidP="003A6F16">
            <w:pPr>
              <w:spacing w:after="0" w:line="240" w:lineRule="auto"/>
              <w:jc w:val="both"/>
              <w:rPr>
                <w:rFonts w:ascii="Times New Roman" w:hAnsi="Times New Roman" w:cs="Times New Roman"/>
              </w:rPr>
            </w:pPr>
            <w:r w:rsidRPr="0050060F">
              <w:rPr>
                <w:rFonts w:ascii="Times New Roman" w:hAnsi="Times New Roman" w:cs="Times New Roman"/>
                <w:shd w:val="clear" w:color="auto" w:fill="FFFFFF"/>
              </w:rPr>
              <w:t xml:space="preserve">Bu derste; </w:t>
            </w:r>
            <w:r w:rsidRPr="0050060F">
              <w:rPr>
                <w:rFonts w:ascii="Times New Roman" w:hAnsi="Times New Roman" w:cs="Times New Roman"/>
              </w:rPr>
              <w:t xml:space="preserve">Mühendislikte etik kavramlarının öneminin kavranılması, kişisel ve iş etiği arasındaki farkın belirlenmesi, mühendislik tasarımı ve etik problemlerinin çözümü arasındaki benzerliğin anlaşılması amaçlanmaktadır. Ayrıca, öğrenciler kendi bakış açıları ile mühendislik problemlerinin ele alındığı örnek olayları sunma ve tartışma fırsatı yakalanması </w:t>
            </w:r>
            <w:r w:rsidRPr="0050060F">
              <w:rPr>
                <w:rFonts w:ascii="Times New Roman" w:hAnsi="Times New Roman" w:cs="Times New Roman"/>
                <w:shd w:val="clear" w:color="auto" w:fill="FFFFFF"/>
              </w:rPr>
              <w:t>amaçlanmaktadır.</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Fonts w:ascii="Times New Roman" w:hAnsi="Times New Roman" w:cs="Times New Roman"/>
              </w:rPr>
              <w:t>Dersin Öğrenme Çıktıları</w:t>
            </w:r>
          </w:p>
        </w:tc>
        <w:tc>
          <w:tcPr>
            <w:tcW w:w="7403" w:type="dxa"/>
            <w:gridSpan w:val="5"/>
          </w:tcPr>
          <w:p w:rsidR="00754574" w:rsidRPr="0050060F" w:rsidRDefault="00754574" w:rsidP="003A6F16">
            <w:pPr>
              <w:pStyle w:val="Default"/>
              <w:rPr>
                <w:sz w:val="22"/>
                <w:szCs w:val="22"/>
                <w:shd w:val="clear" w:color="auto" w:fill="FFFFFF"/>
              </w:rPr>
            </w:pPr>
            <w:r w:rsidRPr="0050060F">
              <w:rPr>
                <w:sz w:val="22"/>
                <w:szCs w:val="22"/>
                <w:shd w:val="clear" w:color="auto" w:fill="FFFFFF"/>
              </w:rPr>
              <w:t xml:space="preserve">Bu dersin sonunda öğrenci; </w:t>
            </w:r>
          </w:p>
          <w:p w:rsidR="00754574" w:rsidRPr="0050060F" w:rsidRDefault="00754574" w:rsidP="003A6F16">
            <w:pPr>
              <w:pStyle w:val="Default"/>
              <w:rPr>
                <w:sz w:val="22"/>
                <w:szCs w:val="22"/>
              </w:rPr>
            </w:pPr>
            <w:r w:rsidRPr="0050060F">
              <w:rPr>
                <w:sz w:val="22"/>
                <w:szCs w:val="22"/>
              </w:rPr>
              <w:t xml:space="preserve">1. Mühendislikteki etik ikilemleri tanımlar, </w:t>
            </w:r>
          </w:p>
          <w:p w:rsidR="00754574" w:rsidRPr="0050060F" w:rsidRDefault="00754574" w:rsidP="003A6F16">
            <w:pPr>
              <w:pStyle w:val="Default"/>
              <w:rPr>
                <w:sz w:val="22"/>
                <w:szCs w:val="22"/>
              </w:rPr>
            </w:pPr>
            <w:r w:rsidRPr="0050060F">
              <w:rPr>
                <w:sz w:val="22"/>
                <w:szCs w:val="22"/>
              </w:rPr>
              <w:t xml:space="preserve">2. Karşılaştığı ikilemlerdeki zorlukları araştırır ve analiz eder, </w:t>
            </w:r>
          </w:p>
          <w:p w:rsidR="00754574" w:rsidRPr="0050060F" w:rsidRDefault="00754574" w:rsidP="003A6F16">
            <w:pPr>
              <w:pStyle w:val="Default"/>
              <w:rPr>
                <w:sz w:val="22"/>
                <w:szCs w:val="22"/>
              </w:rPr>
            </w:pPr>
            <w:r w:rsidRPr="0050060F">
              <w:rPr>
                <w:sz w:val="22"/>
                <w:szCs w:val="22"/>
              </w:rPr>
              <w:t xml:space="preserve">3. Farklı çözüm alternatiflerini belirler ve değerlendirir, </w:t>
            </w:r>
          </w:p>
          <w:p w:rsidR="00754574" w:rsidRPr="0050060F" w:rsidRDefault="00754574" w:rsidP="003A6F16">
            <w:pPr>
              <w:pStyle w:val="Default"/>
              <w:rPr>
                <w:sz w:val="22"/>
                <w:szCs w:val="22"/>
              </w:rPr>
            </w:pPr>
            <w:r w:rsidRPr="0050060F">
              <w:rPr>
                <w:sz w:val="22"/>
                <w:szCs w:val="22"/>
              </w:rPr>
              <w:t xml:space="preserve">4. Çözüm için atılacak adımın sonuçlarını tanımlar, </w:t>
            </w:r>
          </w:p>
          <w:p w:rsidR="00754574" w:rsidRPr="0050060F" w:rsidRDefault="00754574" w:rsidP="003A6F16">
            <w:pPr>
              <w:pStyle w:val="Default"/>
              <w:rPr>
                <w:sz w:val="22"/>
                <w:szCs w:val="22"/>
              </w:rPr>
            </w:pPr>
            <w:r w:rsidRPr="0050060F">
              <w:rPr>
                <w:sz w:val="22"/>
                <w:szCs w:val="22"/>
              </w:rPr>
              <w:t xml:space="preserve">5. Çözüm için atılacak adımı yönlendirecek etik kodları göz önünde bulundurur, </w:t>
            </w:r>
          </w:p>
          <w:p w:rsidR="00754574" w:rsidRPr="0050060F" w:rsidRDefault="00754574" w:rsidP="003A6F16">
            <w:pPr>
              <w:pStyle w:val="Default"/>
              <w:rPr>
                <w:sz w:val="22"/>
                <w:szCs w:val="22"/>
              </w:rPr>
            </w:pPr>
            <w:r w:rsidRPr="0050060F">
              <w:rPr>
                <w:sz w:val="22"/>
                <w:szCs w:val="22"/>
              </w:rPr>
              <w:t xml:space="preserve">6. Mühendislik için etik bir çerçeve tanımlar, </w:t>
            </w:r>
          </w:p>
          <w:p w:rsidR="00754574" w:rsidRPr="0050060F" w:rsidRDefault="00754574" w:rsidP="003A6F16">
            <w:pPr>
              <w:pStyle w:val="Default"/>
              <w:rPr>
                <w:sz w:val="22"/>
                <w:szCs w:val="22"/>
              </w:rPr>
            </w:pPr>
            <w:r w:rsidRPr="0050060F">
              <w:rPr>
                <w:sz w:val="22"/>
                <w:szCs w:val="22"/>
              </w:rPr>
              <w:t xml:space="preserve">7. Bir takım üyesi olarak etik ikilemleri sunar ve tartışır, </w:t>
            </w:r>
          </w:p>
          <w:p w:rsidR="00754574" w:rsidRPr="0050060F" w:rsidRDefault="00754574" w:rsidP="003A6F16">
            <w:pPr>
              <w:pStyle w:val="Default"/>
              <w:rPr>
                <w:rStyle w:val="fontstyle01"/>
                <w:sz w:val="22"/>
                <w:szCs w:val="22"/>
              </w:rPr>
            </w:pPr>
            <w:r w:rsidRPr="0050060F">
              <w:rPr>
                <w:sz w:val="22"/>
                <w:szCs w:val="22"/>
              </w:rPr>
              <w:t xml:space="preserve">8. Mühendislik tasarım ve çözümlerinin etkilerini küresel ve sosyal boyutları ile tanımlar. </w:t>
            </w:r>
          </w:p>
        </w:tc>
      </w:tr>
      <w:tr w:rsidR="00754574" w:rsidRPr="0050060F" w:rsidTr="003A6F16">
        <w:tc>
          <w:tcPr>
            <w:tcW w:w="1809" w:type="dxa"/>
          </w:tcPr>
          <w:p w:rsidR="00754574" w:rsidRPr="0050060F" w:rsidRDefault="00754574" w:rsidP="003A6F16">
            <w:pPr>
              <w:spacing w:after="0" w:line="240" w:lineRule="auto"/>
              <w:rPr>
                <w:rFonts w:ascii="Times New Roman" w:hAnsi="Times New Roman" w:cs="Times New Roman"/>
              </w:rPr>
            </w:pPr>
            <w:r w:rsidRPr="0050060F">
              <w:rPr>
                <w:rStyle w:val="fontstyle01"/>
                <w:sz w:val="22"/>
                <w:szCs w:val="22"/>
              </w:rPr>
              <w:t>Dersin İçeriği</w:t>
            </w:r>
          </w:p>
        </w:tc>
        <w:tc>
          <w:tcPr>
            <w:tcW w:w="7403" w:type="dxa"/>
            <w:gridSpan w:val="5"/>
          </w:tcPr>
          <w:p w:rsidR="00754574" w:rsidRPr="0050060F" w:rsidRDefault="00754574" w:rsidP="003A6F16">
            <w:pPr>
              <w:spacing w:after="0" w:line="240" w:lineRule="auto"/>
              <w:rPr>
                <w:rStyle w:val="fontstyle01"/>
                <w:sz w:val="22"/>
                <w:szCs w:val="22"/>
              </w:rPr>
            </w:pPr>
            <w:r w:rsidRPr="0050060F">
              <w:rPr>
                <w:rStyle w:val="fontstyle01"/>
                <w:sz w:val="22"/>
                <w:szCs w:val="22"/>
              </w:rPr>
              <w:t>Mühendislik, etik, davranış ve bu kavramların etkileri</w:t>
            </w:r>
          </w:p>
        </w:tc>
      </w:tr>
      <w:tr w:rsidR="00754574" w:rsidRPr="0050060F" w:rsidTr="003A6F16">
        <w:tc>
          <w:tcPr>
            <w:tcW w:w="1809" w:type="dxa"/>
          </w:tcPr>
          <w:p w:rsidR="00754574" w:rsidRPr="0050060F" w:rsidRDefault="00754574" w:rsidP="003A6F16">
            <w:pPr>
              <w:spacing w:after="0" w:line="240" w:lineRule="auto"/>
              <w:rPr>
                <w:rStyle w:val="fontstyle01"/>
                <w:b/>
                <w:sz w:val="22"/>
                <w:szCs w:val="22"/>
              </w:rPr>
            </w:pPr>
            <w:r w:rsidRPr="0050060F">
              <w:rPr>
                <w:rStyle w:val="fontstyle01"/>
                <w:b/>
                <w:sz w:val="22"/>
                <w:szCs w:val="22"/>
              </w:rPr>
              <w:t>Haftalar</w:t>
            </w:r>
          </w:p>
        </w:tc>
        <w:tc>
          <w:tcPr>
            <w:tcW w:w="7403" w:type="dxa"/>
            <w:gridSpan w:val="5"/>
          </w:tcPr>
          <w:p w:rsidR="00754574" w:rsidRPr="0050060F" w:rsidRDefault="00754574" w:rsidP="003A6F16">
            <w:pPr>
              <w:spacing w:after="0" w:line="240" w:lineRule="auto"/>
              <w:rPr>
                <w:rStyle w:val="fontstyle01"/>
                <w:b/>
                <w:sz w:val="22"/>
                <w:szCs w:val="22"/>
              </w:rPr>
            </w:pPr>
            <w:r w:rsidRPr="0050060F">
              <w:rPr>
                <w:rStyle w:val="fontstyle01"/>
                <w:b/>
                <w:sz w:val="22"/>
                <w:szCs w:val="22"/>
              </w:rPr>
              <w:t>Konular</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1</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Etik kavramlara giriş</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2</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Profesyonellik ve etik kodlar</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3</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Etik problemlerin analizi</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4</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Etik problemlerin çözüm yöntemleri</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5</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Risk, güvenlik ve kaza</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6</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Mühendislikte haklar ve sorumluluklar</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7</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Araştırma ve deneylerde etik</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8</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Deneylerde Etik</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9</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Teknoloji, mühendis ve toplum ilişkisi</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10</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Teknolojik gelişme ve mühendis</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11</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Örnek olay incelemesi (seminer)</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12</w:t>
            </w:r>
          </w:p>
        </w:tc>
        <w:tc>
          <w:tcPr>
            <w:tcW w:w="7403" w:type="dxa"/>
            <w:gridSpan w:val="5"/>
          </w:tcPr>
          <w:p w:rsidR="00754574" w:rsidRPr="0050060F" w:rsidRDefault="00754574" w:rsidP="003A6F16">
            <w:pPr>
              <w:pStyle w:val="NormalWeb"/>
              <w:autoSpaceDE w:val="0"/>
              <w:autoSpaceDN w:val="0"/>
              <w:adjustRightInd w:val="0"/>
              <w:spacing w:before="0" w:beforeAutospacing="0" w:after="0" w:afterAutospacing="0"/>
              <w:rPr>
                <w:rStyle w:val="fontstyle01"/>
                <w:sz w:val="22"/>
                <w:szCs w:val="22"/>
              </w:rPr>
            </w:pPr>
            <w:r w:rsidRPr="0050060F">
              <w:rPr>
                <w:color w:val="000000"/>
                <w:sz w:val="22"/>
                <w:szCs w:val="22"/>
                <w:lang w:eastAsia="zh-CN"/>
              </w:rPr>
              <w:t xml:space="preserve">Örnek olay incelemesi (seminer) </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13</w:t>
            </w:r>
          </w:p>
        </w:tc>
        <w:tc>
          <w:tcPr>
            <w:tcW w:w="7403" w:type="dxa"/>
            <w:gridSpan w:val="5"/>
          </w:tcPr>
          <w:p w:rsidR="00754574" w:rsidRPr="0050060F" w:rsidRDefault="00754574" w:rsidP="003A6F16">
            <w:pPr>
              <w:spacing w:after="0" w:line="240" w:lineRule="auto"/>
              <w:jc w:val="both"/>
              <w:rPr>
                <w:rStyle w:val="fontstyle01"/>
                <w:sz w:val="22"/>
                <w:szCs w:val="22"/>
              </w:rPr>
            </w:pPr>
            <w:r w:rsidRPr="0050060F">
              <w:rPr>
                <w:rFonts w:ascii="Times New Roman" w:hAnsi="Times New Roman" w:cs="Times New Roman"/>
              </w:rPr>
              <w:t>Örnek olay incelemesi (seminer)</w:t>
            </w:r>
          </w:p>
        </w:tc>
      </w:tr>
      <w:tr w:rsidR="00754574" w:rsidRPr="0050060F" w:rsidTr="003A6F16">
        <w:tc>
          <w:tcPr>
            <w:tcW w:w="1809" w:type="dxa"/>
          </w:tcPr>
          <w:p w:rsidR="00754574" w:rsidRPr="008F2A3D" w:rsidRDefault="00754574" w:rsidP="003A6F16">
            <w:pPr>
              <w:spacing w:after="0" w:line="240" w:lineRule="auto"/>
              <w:rPr>
                <w:rStyle w:val="fontstyle01"/>
                <w:sz w:val="22"/>
                <w:szCs w:val="22"/>
              </w:rPr>
            </w:pPr>
            <w:r w:rsidRPr="008F2A3D">
              <w:rPr>
                <w:rStyle w:val="fontstyle01"/>
                <w:sz w:val="22"/>
                <w:szCs w:val="22"/>
              </w:rPr>
              <w:t>14</w:t>
            </w:r>
          </w:p>
        </w:tc>
        <w:tc>
          <w:tcPr>
            <w:tcW w:w="7403" w:type="dxa"/>
            <w:gridSpan w:val="5"/>
          </w:tcPr>
          <w:p w:rsidR="00754574" w:rsidRPr="0050060F" w:rsidRDefault="00754574" w:rsidP="003A6F16">
            <w:pPr>
              <w:spacing w:after="0" w:line="240" w:lineRule="auto"/>
              <w:jc w:val="both"/>
              <w:rPr>
                <w:rStyle w:val="fontstyle01"/>
                <w:sz w:val="22"/>
                <w:szCs w:val="22"/>
              </w:rPr>
            </w:pPr>
            <w:r w:rsidRPr="0050060F">
              <w:rPr>
                <w:rFonts w:ascii="Times New Roman" w:hAnsi="Times New Roman" w:cs="Times New Roman"/>
              </w:rPr>
              <w:t>Örnek olay incelemesi (seminer)</w:t>
            </w:r>
          </w:p>
        </w:tc>
      </w:tr>
      <w:tr w:rsidR="00754574" w:rsidRPr="0050060F" w:rsidTr="003A6F16">
        <w:tc>
          <w:tcPr>
            <w:tcW w:w="9212" w:type="dxa"/>
            <w:gridSpan w:val="6"/>
          </w:tcPr>
          <w:p w:rsidR="00754574" w:rsidRPr="0050060F" w:rsidRDefault="00754574" w:rsidP="003A6F16">
            <w:pPr>
              <w:spacing w:after="0" w:line="240" w:lineRule="auto"/>
              <w:jc w:val="center"/>
              <w:rPr>
                <w:rStyle w:val="fontstyle01"/>
                <w:b/>
                <w:sz w:val="22"/>
                <w:szCs w:val="22"/>
              </w:rPr>
            </w:pPr>
            <w:r w:rsidRPr="0050060F">
              <w:rPr>
                <w:rStyle w:val="fontstyle01"/>
                <w:b/>
                <w:sz w:val="22"/>
                <w:szCs w:val="22"/>
              </w:rPr>
              <w:t>Genel Yeterlilikler</w:t>
            </w:r>
          </w:p>
        </w:tc>
      </w:tr>
      <w:tr w:rsidR="00754574" w:rsidRPr="0050060F" w:rsidTr="003A6F16">
        <w:tc>
          <w:tcPr>
            <w:tcW w:w="9212" w:type="dxa"/>
            <w:gridSpan w:val="6"/>
          </w:tcPr>
          <w:p w:rsidR="00754574" w:rsidRPr="0050060F" w:rsidRDefault="00754574" w:rsidP="003A6F16">
            <w:pPr>
              <w:spacing w:after="0" w:line="240" w:lineRule="auto"/>
              <w:jc w:val="both"/>
              <w:rPr>
                <w:rStyle w:val="fontstyle01"/>
                <w:sz w:val="22"/>
                <w:szCs w:val="22"/>
              </w:rPr>
            </w:pPr>
            <w:r w:rsidRPr="0050060F">
              <w:rPr>
                <w:rStyle w:val="fontstyle01"/>
                <w:sz w:val="22"/>
                <w:szCs w:val="22"/>
              </w:rPr>
              <w:t xml:space="preserve">Öğrencinin mühendislik, etik kavramlar ve uygulamada toplum ilişkisi </w:t>
            </w:r>
          </w:p>
        </w:tc>
      </w:tr>
      <w:tr w:rsidR="00754574" w:rsidRPr="0050060F" w:rsidTr="003A6F16">
        <w:tc>
          <w:tcPr>
            <w:tcW w:w="9212" w:type="dxa"/>
            <w:gridSpan w:val="6"/>
          </w:tcPr>
          <w:p w:rsidR="00754574" w:rsidRPr="0050060F" w:rsidRDefault="00754574" w:rsidP="003A6F16">
            <w:pPr>
              <w:spacing w:after="0" w:line="240" w:lineRule="auto"/>
              <w:jc w:val="center"/>
              <w:rPr>
                <w:rFonts w:ascii="Times New Roman" w:hAnsi="Times New Roman" w:cs="Times New Roman"/>
                <w:b/>
                <w:color w:val="000000"/>
              </w:rPr>
            </w:pPr>
            <w:r w:rsidRPr="0050060F">
              <w:rPr>
                <w:rFonts w:ascii="Times New Roman" w:hAnsi="Times New Roman" w:cs="Times New Roman"/>
                <w:b/>
                <w:color w:val="000000"/>
              </w:rPr>
              <w:t>Kaynaklar</w:t>
            </w:r>
          </w:p>
        </w:tc>
      </w:tr>
      <w:tr w:rsidR="00754574" w:rsidRPr="0050060F" w:rsidTr="003A6F16">
        <w:tc>
          <w:tcPr>
            <w:tcW w:w="9212" w:type="dxa"/>
            <w:gridSpan w:val="6"/>
          </w:tcPr>
          <w:p w:rsidR="00754574" w:rsidRPr="0050060F" w:rsidRDefault="00754574" w:rsidP="003A6F16">
            <w:pPr>
              <w:pStyle w:val="NormalWeb"/>
              <w:autoSpaceDE w:val="0"/>
              <w:autoSpaceDN w:val="0"/>
              <w:adjustRightInd w:val="0"/>
              <w:spacing w:before="0" w:beforeAutospacing="0" w:after="0" w:afterAutospacing="0"/>
              <w:rPr>
                <w:sz w:val="22"/>
                <w:szCs w:val="22"/>
              </w:rPr>
            </w:pPr>
            <w:r w:rsidRPr="0050060F">
              <w:rPr>
                <w:color w:val="000000"/>
                <w:sz w:val="22"/>
                <w:szCs w:val="22"/>
                <w:lang w:eastAsia="zh-CN"/>
              </w:rPr>
              <w:t>Fleddermann, C.B</w:t>
            </w:r>
            <w:proofErr w:type="gramStart"/>
            <w:r w:rsidRPr="0050060F">
              <w:rPr>
                <w:color w:val="000000"/>
                <w:sz w:val="22"/>
                <w:szCs w:val="22"/>
                <w:lang w:eastAsia="zh-CN"/>
              </w:rPr>
              <w:t>.,</w:t>
            </w:r>
            <w:proofErr w:type="gramEnd"/>
            <w:r w:rsidRPr="0050060F">
              <w:rPr>
                <w:color w:val="000000"/>
                <w:sz w:val="22"/>
                <w:szCs w:val="22"/>
                <w:lang w:eastAsia="zh-CN"/>
              </w:rPr>
              <w:t xml:space="preserve">(1999), </w:t>
            </w:r>
            <w:r w:rsidRPr="0050060F">
              <w:rPr>
                <w:i/>
                <w:color w:val="000000"/>
                <w:sz w:val="22"/>
                <w:szCs w:val="22"/>
                <w:lang w:eastAsia="zh-CN"/>
              </w:rPr>
              <w:t>Engineering Ethics</w:t>
            </w:r>
            <w:r w:rsidRPr="0050060F">
              <w:rPr>
                <w:color w:val="000000"/>
                <w:sz w:val="22"/>
                <w:szCs w:val="22"/>
                <w:lang w:eastAsia="zh-CN"/>
              </w:rPr>
              <w:t>, Prentice Hall</w:t>
            </w:r>
            <w:r w:rsidRPr="0050060F">
              <w:rPr>
                <w:i/>
                <w:color w:val="000000"/>
                <w:sz w:val="22"/>
                <w:szCs w:val="22"/>
                <w:lang w:eastAsia="zh-CN"/>
              </w:rPr>
              <w:t xml:space="preserve">, </w:t>
            </w:r>
            <w:r w:rsidRPr="0050060F">
              <w:rPr>
                <w:color w:val="000000"/>
                <w:sz w:val="22"/>
                <w:szCs w:val="22"/>
                <w:lang w:eastAsia="zh-CN"/>
              </w:rPr>
              <w:t xml:space="preserve">New Jersey. </w:t>
            </w:r>
          </w:p>
          <w:p w:rsidR="00754574" w:rsidRPr="0050060F" w:rsidRDefault="00754574" w:rsidP="003A6F16">
            <w:pPr>
              <w:pStyle w:val="NormalWeb"/>
              <w:autoSpaceDE w:val="0"/>
              <w:autoSpaceDN w:val="0"/>
              <w:adjustRightInd w:val="0"/>
              <w:spacing w:before="0" w:beforeAutospacing="0" w:after="0" w:afterAutospacing="0"/>
              <w:rPr>
                <w:color w:val="000000"/>
                <w:sz w:val="22"/>
                <w:szCs w:val="22"/>
              </w:rPr>
            </w:pPr>
            <w:r w:rsidRPr="0050060F">
              <w:rPr>
                <w:color w:val="000000"/>
                <w:sz w:val="22"/>
                <w:szCs w:val="22"/>
                <w:lang w:eastAsia="zh-CN"/>
              </w:rPr>
              <w:t>Mantell, M. I</w:t>
            </w:r>
            <w:proofErr w:type="gramStart"/>
            <w:r w:rsidRPr="0050060F">
              <w:rPr>
                <w:color w:val="000000"/>
                <w:sz w:val="22"/>
                <w:szCs w:val="22"/>
                <w:lang w:eastAsia="zh-CN"/>
              </w:rPr>
              <w:t>.,</w:t>
            </w:r>
            <w:proofErr w:type="gramEnd"/>
            <w:r w:rsidRPr="0050060F">
              <w:rPr>
                <w:color w:val="000000"/>
                <w:sz w:val="22"/>
                <w:szCs w:val="22"/>
                <w:lang w:eastAsia="zh-CN"/>
              </w:rPr>
              <w:t xml:space="preserve"> (1964), </w:t>
            </w:r>
            <w:r w:rsidRPr="0050060F">
              <w:rPr>
                <w:i/>
                <w:color w:val="000000"/>
                <w:sz w:val="22"/>
                <w:szCs w:val="22"/>
                <w:lang w:eastAsia="zh-CN"/>
              </w:rPr>
              <w:t>Ethics and Professionalism in Engineering</w:t>
            </w:r>
            <w:r w:rsidRPr="0050060F">
              <w:rPr>
                <w:color w:val="000000"/>
                <w:sz w:val="22"/>
                <w:szCs w:val="22"/>
                <w:lang w:eastAsia="zh-CN"/>
              </w:rPr>
              <w:t xml:space="preserve">, McMillan, New York. </w:t>
            </w:r>
          </w:p>
        </w:tc>
      </w:tr>
      <w:tr w:rsidR="00754574" w:rsidRPr="0050060F" w:rsidTr="003A6F16">
        <w:tc>
          <w:tcPr>
            <w:tcW w:w="9212" w:type="dxa"/>
            <w:gridSpan w:val="6"/>
          </w:tcPr>
          <w:p w:rsidR="00754574" w:rsidRPr="0050060F" w:rsidRDefault="00754574" w:rsidP="003A6F16">
            <w:pPr>
              <w:spacing w:after="0" w:line="240" w:lineRule="auto"/>
              <w:jc w:val="center"/>
              <w:rPr>
                <w:rFonts w:ascii="Times New Roman" w:hAnsi="Times New Roman" w:cs="Times New Roman"/>
                <w:b/>
                <w:color w:val="000000"/>
              </w:rPr>
            </w:pPr>
            <w:r w:rsidRPr="0050060F">
              <w:rPr>
                <w:rFonts w:ascii="Times New Roman" w:hAnsi="Times New Roman" w:cs="Times New Roman"/>
                <w:b/>
                <w:color w:val="000000"/>
              </w:rPr>
              <w:t>Değerlendirme Sistemi</w:t>
            </w:r>
          </w:p>
        </w:tc>
      </w:tr>
      <w:tr w:rsidR="00754574" w:rsidRPr="0050060F" w:rsidTr="003A6F16">
        <w:tc>
          <w:tcPr>
            <w:tcW w:w="9212" w:type="dxa"/>
            <w:gridSpan w:val="6"/>
          </w:tcPr>
          <w:p w:rsidR="00754574" w:rsidRPr="0050060F" w:rsidRDefault="00754574" w:rsidP="003A6F16">
            <w:pPr>
              <w:spacing w:after="0" w:line="240" w:lineRule="auto"/>
              <w:jc w:val="both"/>
              <w:rPr>
                <w:rFonts w:ascii="Times New Roman" w:hAnsi="Times New Roman" w:cs="Times New Roman"/>
                <w:color w:val="000000"/>
              </w:rPr>
            </w:pPr>
            <w:r w:rsidRPr="0050060F">
              <w:rPr>
                <w:rFonts w:ascii="Times New Roman" w:hAnsi="Times New Roman" w:cs="Times New Roman"/>
                <w:color w:val="000000"/>
              </w:rPr>
              <w:t>Ara Sınav, Kısa Sınav, Yarıyıl Sonu Sınavı ve Değerlendirmelerin yapılacağı tarih, gün ve saatler daha sonra Fakülte Yönetim Kurulunun alacağı karara göre açıklanacaktır</w:t>
            </w:r>
          </w:p>
        </w:tc>
      </w:tr>
    </w:tbl>
    <w:p w:rsidR="00754574" w:rsidRDefault="00754574" w:rsidP="00754574">
      <w:pPr>
        <w:rPr>
          <w:rFonts w:ascii="Times New Roman" w:eastAsia="Times New Roman" w:hAnsi="Times New Roman" w:cs="Times New Roman"/>
        </w:rPr>
      </w:pPr>
    </w:p>
    <w:p w:rsidR="000C55D5" w:rsidRPr="00754574" w:rsidRDefault="000C55D5" w:rsidP="00754574"/>
    <w:sectPr w:rsidR="000C55D5" w:rsidRPr="00754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54574"/>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2021-07-06T17:28:00Z</dcterms:modified>
</cp:coreProperties>
</file>